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FEF9">
      <w:pPr>
        <w:jc w:val="center"/>
        <w:rPr>
          <w:b/>
          <w:sz w:val="36"/>
          <w:szCs w:val="36"/>
        </w:rPr>
      </w:pPr>
      <w:r>
        <w:rPr>
          <w:b/>
          <w:sz w:val="36"/>
          <w:szCs w:val="36"/>
        </w:rPr>
        <w:t>Title</w:t>
      </w:r>
    </w:p>
    <w:p w14:paraId="7F4347EB">
      <w:pPr>
        <w:jc w:val="center"/>
        <w:rPr>
          <w:i/>
          <w:iCs/>
          <w:color w:val="8064A2" w:themeColor="accent4"/>
          <w:sz w:val="20"/>
          <w:szCs w:val="20"/>
          <w14:textFill>
            <w14:solidFill>
              <w14:schemeClr w14:val="accent4"/>
            </w14:solidFill>
          </w14:textFill>
        </w:rPr>
      </w:pPr>
      <w:r>
        <w:rPr>
          <w:i/>
          <w:iCs/>
          <w:color w:val="8064A2" w:themeColor="accent4"/>
          <w:sz w:val="20"/>
          <w:szCs w:val="20"/>
          <w14:textFill>
            <w14:solidFill>
              <w14:schemeClr w14:val="accent4"/>
            </w14:solidFill>
          </w14:textFill>
        </w:rPr>
        <w:t>[The title Approximately 20 w</w:t>
      </w:r>
      <w:bookmarkStart w:id="0" w:name="_GoBack"/>
      <w:bookmarkEnd w:id="0"/>
      <w:r>
        <w:rPr>
          <w:i/>
          <w:iCs/>
          <w:color w:val="8064A2" w:themeColor="accent4"/>
          <w:sz w:val="20"/>
          <w:szCs w:val="20"/>
          <w14:textFill>
            <w14:solidFill>
              <w14:schemeClr w14:val="accent4"/>
            </w14:solidFill>
          </w14:textFill>
        </w:rPr>
        <w:t>ords, size 18pt, font Times New Roman]</w:t>
      </w:r>
    </w:p>
    <w:p w14:paraId="41DA2E12">
      <w:pPr>
        <w:jc w:val="center"/>
        <w:rPr>
          <w:sz w:val="18"/>
          <w:szCs w:val="18"/>
        </w:rPr>
      </w:pPr>
      <w:r>
        <w:rPr>
          <w:bCs/>
          <w:sz w:val="18"/>
          <w:szCs w:val="18"/>
        </w:rPr>
        <w:t>First name Last name</w:t>
      </w:r>
      <w:r>
        <w:rPr>
          <w:sz w:val="18"/>
          <w:szCs w:val="18"/>
          <w:vertAlign w:val="superscript"/>
        </w:rPr>
        <w:t>1</w:t>
      </w:r>
      <w:r>
        <w:rPr>
          <w:sz w:val="18"/>
          <w:szCs w:val="18"/>
        </w:rPr>
        <w:t xml:space="preserve">, Other </w:t>
      </w:r>
      <w:r>
        <w:rPr>
          <w:rFonts w:hint="default"/>
          <w:sz w:val="18"/>
          <w:szCs w:val="18"/>
          <w:lang w:val="en-US"/>
        </w:rPr>
        <w:t>Author</w:t>
      </w:r>
      <w:r>
        <w:rPr>
          <w:sz w:val="18"/>
          <w:szCs w:val="18"/>
        </w:rPr>
        <w:t xml:space="preserve"> Name (Optional) </w:t>
      </w:r>
      <w:r>
        <w:rPr>
          <w:sz w:val="18"/>
          <w:szCs w:val="18"/>
          <w:vertAlign w:val="superscript"/>
        </w:rPr>
        <w:t>2</w:t>
      </w:r>
    </w:p>
    <w:p w14:paraId="41385790">
      <w:pPr>
        <w:jc w:val="center"/>
        <w:rPr>
          <w:sz w:val="18"/>
          <w:szCs w:val="18"/>
        </w:rPr>
      </w:pPr>
      <w:r>
        <w:rPr>
          <w:sz w:val="18"/>
          <w:szCs w:val="18"/>
          <w:vertAlign w:val="superscript"/>
        </w:rPr>
        <w:t>1</w:t>
      </w:r>
      <w:r>
        <w:rPr>
          <w:sz w:val="18"/>
          <w:szCs w:val="18"/>
        </w:rPr>
        <w:t>A</w:t>
      </w:r>
      <w:r>
        <w:rPr>
          <w:rFonts w:hint="default"/>
          <w:sz w:val="18"/>
          <w:szCs w:val="18"/>
          <w:lang w:val="en-US"/>
        </w:rPr>
        <w:t>uthor A</w:t>
      </w:r>
      <w:r>
        <w:rPr>
          <w:sz w:val="18"/>
          <w:szCs w:val="18"/>
        </w:rPr>
        <w:t>ffiliation 1</w:t>
      </w:r>
    </w:p>
    <w:p w14:paraId="63B1F708">
      <w:pPr>
        <w:jc w:val="center"/>
        <w:rPr>
          <w:sz w:val="18"/>
          <w:szCs w:val="18"/>
        </w:rPr>
      </w:pPr>
      <w:r>
        <w:rPr>
          <w:sz w:val="18"/>
          <w:szCs w:val="18"/>
          <w:vertAlign w:val="superscript"/>
        </w:rPr>
        <w:t>2</w:t>
      </w:r>
      <w:r>
        <w:rPr>
          <w:rFonts w:hint="default"/>
          <w:sz w:val="18"/>
          <w:szCs w:val="18"/>
          <w:lang w:val="en-US"/>
        </w:rPr>
        <w:t>Author</w:t>
      </w:r>
      <w:r>
        <w:rPr>
          <w:sz w:val="18"/>
          <w:szCs w:val="18"/>
        </w:rPr>
        <w:t xml:space="preserve"> Affiliation 2</w:t>
      </w:r>
    </w:p>
    <w:p w14:paraId="3F654023">
      <w:pPr>
        <w:jc w:val="both"/>
        <w:rPr>
          <w:b/>
          <w:bCs/>
          <w:sz w:val="24"/>
          <w:szCs w:val="24"/>
        </w:rPr>
      </w:pPr>
      <w:r>
        <w:rPr>
          <w:b/>
          <w:bCs/>
          <w:sz w:val="24"/>
          <w:szCs w:val="24"/>
        </w:rPr>
        <w:t>ABSTRACT [Times New Roman, 10 pt, Bold]</w:t>
      </w:r>
    </w:p>
    <w:p w14:paraId="3CB9E3D8">
      <w:pPr>
        <w:ind w:firstLine="720"/>
        <w:jc w:val="both"/>
        <w:rPr>
          <w:sz w:val="20"/>
          <w:szCs w:val="20"/>
        </w:rPr>
      </w:pPr>
      <w:r>
        <w:rPr>
          <w:i/>
          <w:iCs/>
          <w:color w:val="8064A2" w:themeColor="accent4"/>
          <w:sz w:val="20"/>
          <w:szCs w:val="20"/>
          <w14:textFill>
            <w14:solidFill>
              <w14:schemeClr w14:val="accent4"/>
            </w14:solidFill>
          </w14:textFill>
        </w:rPr>
        <w:t>The Abstract for ICLS 2026 must be a comprehensive summary of the research, ranging from 1,000 to 2,000 words, with a maximum of 5 keywords, written in Times New Roman, 10pt</w:t>
      </w:r>
      <w:r>
        <w:rPr>
          <w:color w:val="8064A2" w:themeColor="accent4"/>
          <w:sz w:val="20"/>
          <w:szCs w:val="20"/>
          <w14:textFill>
            <w14:solidFill>
              <w14:schemeClr w14:val="accent4"/>
            </w14:solidFill>
          </w14:textFill>
        </w:rPr>
        <w:t xml:space="preserve">. </w:t>
      </w:r>
      <w:r>
        <w:rPr>
          <w:sz w:val="20"/>
          <w:szCs w:val="20"/>
        </w:rPr>
        <w:t>Research article abstracts must provide a pertinent and comprehensive overview of the study. Authors are strongly encouraged to adopt a structured narrative flow that integrates the background, methods, results, and conclusions into a single cohesive paragraph, without using formal headings. The text should begin by situating the research question in a broad context to highlight the study's purpose, followed by a concise description of the primary methods or treatments used. Subsequently, the abstract should summarize the main findings and state the fundamental interpretations or conclusions derived from the work. It is essential that the abstract serves as an objective representation of the research; therefore, it must exclude any results not substantiated in the main text and refrain from exaggerating the significance of the study's outcomes.</w:t>
      </w:r>
    </w:p>
    <w:p w14:paraId="6D7CCD6C">
      <w:pPr>
        <w:jc w:val="both"/>
        <w:rPr>
          <w:b/>
          <w:bCs/>
          <w:sz w:val="24"/>
          <w:szCs w:val="24"/>
        </w:rPr>
      </w:pPr>
      <w:r>
        <w:rPr>
          <w:b/>
          <w:bCs/>
          <w:sz w:val="24"/>
          <w:szCs w:val="24"/>
        </w:rPr>
        <w:t>INTRODUCTION [Times New Roman, 12 pt, Bold]</w:t>
      </w:r>
    </w:p>
    <w:p w14:paraId="4FC94BC5">
      <w:pPr>
        <w:ind w:firstLine="720"/>
        <w:jc w:val="both"/>
        <w:rPr>
          <w:sz w:val="20"/>
          <w:szCs w:val="20"/>
        </w:rPr>
      </w:pPr>
      <w:r>
        <w:rPr>
          <w:i/>
          <w:iCs/>
          <w:color w:val="8064A2" w:themeColor="accent4"/>
          <w:sz w:val="20"/>
          <w:szCs w:val="20"/>
          <w14:textFill>
            <w14:solidFill>
              <w14:schemeClr w14:val="accent4"/>
            </w14:solidFill>
          </w14:textFill>
        </w:rPr>
        <w:t>Authors are required to clearly articulate a robust Introduction that emphasizes a sharp Research Gap, ensuring that the study's contribution to the current academic landscape is well-justified, written in Times New Roman in 10pt</w:t>
      </w:r>
      <w:r>
        <w:rPr>
          <w:color w:val="8064A2" w:themeColor="accent4"/>
          <w:sz w:val="20"/>
          <w:szCs w:val="20"/>
          <w14:textFill>
            <w14:solidFill>
              <w14:schemeClr w14:val="accent4"/>
            </w14:solidFill>
          </w14:textFill>
        </w:rPr>
        <w:t xml:space="preserve">. </w:t>
      </w:r>
      <w:r>
        <w:rPr>
          <w:sz w:val="20"/>
          <w:szCs w:val="20"/>
        </w:rPr>
        <w:t>The introductory section of an academic article establishes the study's rationale by clearly defining its purpose and underlying motivations. This section should provide a comprehensive overview that delineates the paper’s objectives, the methodologies employed, and the primary findings. It is essential that the introduction maintain a relatively non-technical tone to ensure accessibility while remaining sufficiently precise for an informed reader to grasp the manuscript's unique scholarly contribution.</w:t>
      </w:r>
    </w:p>
    <w:p w14:paraId="78FA797A">
      <w:pPr>
        <w:jc w:val="both"/>
        <w:rPr>
          <w:b/>
          <w:bCs/>
          <w:sz w:val="24"/>
          <w:szCs w:val="24"/>
        </w:rPr>
      </w:pPr>
      <w:r>
        <w:rPr>
          <w:b/>
          <w:bCs/>
          <w:sz w:val="24"/>
          <w:szCs w:val="24"/>
        </w:rPr>
        <w:t>MATERIALS AND METHODS [Times New Roman, 12 pt, Bold]</w:t>
      </w:r>
    </w:p>
    <w:p w14:paraId="4059B248">
      <w:pPr>
        <w:ind w:firstLine="720"/>
        <w:jc w:val="both"/>
        <w:rPr>
          <w:sz w:val="20"/>
          <w:szCs w:val="20"/>
        </w:rPr>
      </w:pPr>
      <w:r>
        <w:rPr>
          <w:sz w:val="20"/>
          <w:szCs w:val="20"/>
        </w:rPr>
        <w:t xml:space="preserve">In the Methodological Framework, authors must provide a granular description of the research design, data collection, and analytical procedures to demonstrate scientific validity and rigor. To enhance the expository precision of the work, the inclusion of at least one Table or Figure in the Preliminary Findings section is mandatory, demonstrating an accurate and credible data analysis process. </w:t>
      </w:r>
      <w:r>
        <w:rPr>
          <w:i/>
          <w:iCs/>
          <w:color w:val="8064A2" w:themeColor="accent4"/>
          <w:sz w:val="20"/>
          <w:szCs w:val="20"/>
          <w14:textFill>
            <w14:solidFill>
              <w14:schemeClr w14:val="accent4"/>
            </w14:solidFill>
          </w14:textFill>
        </w:rPr>
        <w:t>Materials and methods written in Times New Roman in 10pt. If there are subtitles in this section, write them in Times New Roman, 11 Pt, Bold.</w:t>
      </w:r>
    </w:p>
    <w:p w14:paraId="1CA35FE5">
      <w:pPr>
        <w:jc w:val="both"/>
        <w:rPr>
          <w:b/>
          <w:bCs/>
          <w:sz w:val="24"/>
          <w:szCs w:val="24"/>
        </w:rPr>
      </w:pPr>
      <w:r>
        <w:rPr>
          <w:b/>
          <w:bCs/>
          <w:sz w:val="24"/>
          <w:szCs w:val="24"/>
        </w:rPr>
        <w:t>RESULTS [Times New Roman, 12 pt, Bold]</w:t>
      </w:r>
    </w:p>
    <w:p w14:paraId="39140993">
      <w:pPr>
        <w:ind w:firstLine="720"/>
        <w:jc w:val="both"/>
        <w:rPr>
          <w:i/>
          <w:iCs/>
          <w:color w:val="8064A2" w:themeColor="accent4"/>
          <w:sz w:val="20"/>
          <w:szCs w:val="20"/>
          <w14:textFill>
            <w14:solidFill>
              <w14:schemeClr w14:val="accent4"/>
            </w14:solidFill>
          </w14:textFill>
        </w:rPr>
      </w:pPr>
      <w:r>
        <w:rPr>
          <w:sz w:val="20"/>
          <w:szCs w:val="20"/>
        </w:rPr>
        <w:t xml:space="preserve">The Results section synthesizes the data gathered during the study using descriptive statistics and details the outcomes of pertinent inferential analyses, such as hypothesis testing. Findings must be disclosed with sufficient precision to enable readers to discern the rationale for the selected statistical methods and validate the resulting conclusions. Consistent with the standards of the American Psychological Association (2001), all relevant outcomes should be reported, including those that contradict the initial hypotheses. As there is no singular prescribed format for presenting research findings, it is advisable to first adhere to general principles before addressing specific techniques for documenting descriptive statistics and hypothesis test results. </w:t>
      </w:r>
      <w:r>
        <w:rPr>
          <w:i/>
          <w:iCs/>
          <w:color w:val="8064A2" w:themeColor="accent4"/>
          <w:sz w:val="20"/>
          <w:szCs w:val="20"/>
          <w14:textFill>
            <w14:solidFill>
              <w14:schemeClr w14:val="accent4"/>
            </w14:solidFill>
          </w14:textFill>
        </w:rPr>
        <w:t>Result written in Times New Roman in 10pt. If there are subtitles in this section, write them in Times New Roman, 11 Pt, Bold.</w:t>
      </w:r>
    </w:p>
    <w:p w14:paraId="09EAFB73">
      <w:pPr>
        <w:jc w:val="both"/>
        <w:rPr>
          <w:b/>
          <w:bCs/>
          <w:sz w:val="28"/>
          <w:szCs w:val="28"/>
        </w:rPr>
      </w:pPr>
      <w:r>
        <w:rPr>
          <w:b/>
          <w:bCs/>
          <w:sz w:val="24"/>
          <w:szCs w:val="24"/>
        </w:rPr>
        <w:t>DISCUSSION [Times New Roman, 12 pt, Bold]</w:t>
      </w:r>
    </w:p>
    <w:p w14:paraId="0A3B41F8">
      <w:pPr>
        <w:ind w:firstLine="720"/>
        <w:jc w:val="both"/>
        <w:rPr>
          <w:sz w:val="20"/>
          <w:szCs w:val="20"/>
        </w:rPr>
      </w:pPr>
      <w:r>
        <w:rPr>
          <w:sz w:val="20"/>
          <w:szCs w:val="20"/>
        </w:rPr>
        <w:t>The Discussion section is often regarded as the most critical component of a research article, as it provides the final impression that shapes a reader's overall perception of the study. Scholars suggest that an effective discussion should begin by restating the primary purpose and underscoring the study's significance by reaffirming its key contributions.</w:t>
      </w:r>
    </w:p>
    <w:p w14:paraId="1E5E9073">
      <w:pPr>
        <w:ind w:firstLine="720"/>
        <w:jc w:val="both"/>
        <w:rPr>
          <w:sz w:val="20"/>
          <w:szCs w:val="20"/>
        </w:rPr>
      </w:pPr>
      <w:r>
        <w:rPr>
          <w:sz w:val="20"/>
          <w:szCs w:val="20"/>
        </w:rPr>
        <w:t>To ensure a comprehensive analysis, the section should synthesize findings in direct relation to each research objective or hypothesis without introducing extraneous material. These results must be contextualized within existing literature to demonstrate how they align with or diverge from previous research. Furthermore, authors are expected to offer plausible explanations for any unexpected or non-significant outcomes and delineate the practical or managerial implications of the work.</w:t>
      </w:r>
    </w:p>
    <w:p w14:paraId="2CD85EF3">
      <w:pPr>
        <w:ind w:firstLine="720"/>
        <w:jc w:val="both"/>
        <w:rPr>
          <w:sz w:val="20"/>
          <w:szCs w:val="20"/>
        </w:rPr>
      </w:pPr>
      <w:r>
        <w:rPr>
          <w:sz w:val="20"/>
          <w:szCs w:val="20"/>
        </w:rPr>
        <w:t xml:space="preserve">A rigorous discussion also requires a transparent evaluation of the study’s limitations, specifically those impacting internal and external validity, while proposing insightful, non-obvious directions for future scholarly inquiry. Ultimately, this section must move beyond a mere repetition of the Results or the introduction of new data; instead, it should focus on the broader implications of the findings. Every conclusion reached must be logically derived from and substantiated by the empirical evidence presented within the study. </w:t>
      </w:r>
      <w:r>
        <w:rPr>
          <w:i/>
          <w:iCs/>
          <w:color w:val="8064A2" w:themeColor="accent4"/>
          <w:sz w:val="20"/>
          <w:szCs w:val="20"/>
          <w14:textFill>
            <w14:solidFill>
              <w14:schemeClr w14:val="accent4"/>
            </w14:solidFill>
          </w14:textFill>
        </w:rPr>
        <w:t>Discussion written in Times New Roman in 10pt. If there are subtitles in this section, write them in Times New Roman, 11 Pt, Bold.</w:t>
      </w:r>
    </w:p>
    <w:p w14:paraId="791AFE69">
      <w:pPr>
        <w:jc w:val="both"/>
        <w:rPr>
          <w:b/>
          <w:bCs/>
          <w:sz w:val="28"/>
          <w:szCs w:val="28"/>
        </w:rPr>
      </w:pPr>
      <w:r>
        <w:rPr>
          <w:b/>
          <w:bCs/>
          <w:sz w:val="24"/>
          <w:szCs w:val="24"/>
        </w:rPr>
        <w:t>CONCLUSION [Times New Roman, 12 pt, Bold]</w:t>
      </w:r>
    </w:p>
    <w:p w14:paraId="7E06AEA7">
      <w:pPr>
        <w:ind w:firstLine="720"/>
        <w:jc w:val="both"/>
        <w:rPr>
          <w:sz w:val="20"/>
          <w:szCs w:val="20"/>
        </w:rPr>
      </w:pPr>
      <w:r>
        <w:rPr>
          <w:sz w:val="20"/>
          <w:szCs w:val="20"/>
        </w:rPr>
        <w:t>In the Conclusion section, authors should provide a concise synthesis of the research findings, along with practical recommendations for future investigators and the general public. While this section reviews the paper's central tenets, it must be presented as a distinct narrative that avoids direct replication of the abstract.</w:t>
      </w:r>
    </w:p>
    <w:p w14:paraId="616737B3">
      <w:pPr>
        <w:ind w:firstLine="720"/>
        <w:jc w:val="both"/>
        <w:rPr>
          <w:sz w:val="20"/>
          <w:szCs w:val="20"/>
        </w:rPr>
      </w:pPr>
      <w:r>
        <w:rPr>
          <w:sz w:val="20"/>
          <w:szCs w:val="20"/>
        </w:rPr>
        <w:t>Furthermore, it is essential to offer a critical assessment of the study's limitations and significant flaws. Authors must evaluate how these constraints may have influenced the research outcomes and address whether such issues stem from methodological choices, systemic errors, or threats to validity. This transparent interpretation allows readers to understand the boundaries of the study’s findings.</w:t>
      </w:r>
    </w:p>
    <w:p w14:paraId="4FD0B1C2">
      <w:pPr>
        <w:ind w:firstLine="720"/>
        <w:jc w:val="both"/>
        <w:rPr>
          <w:i/>
          <w:iCs/>
          <w:color w:val="8064A2" w:themeColor="accent4"/>
          <w:sz w:val="20"/>
          <w:szCs w:val="20"/>
          <w14:textFill>
            <w14:solidFill>
              <w14:schemeClr w14:val="accent4"/>
            </w14:solidFill>
          </w14:textFill>
        </w:rPr>
      </w:pPr>
      <w:r>
        <w:rPr>
          <w:sz w:val="20"/>
          <w:szCs w:val="20"/>
        </w:rPr>
        <w:t>Ultimately, while preparing a scholarly manuscript is a demanding yet rewarding endeavor, it requires a realistic commitment to the writing process. Producing polished academic work is not feasible within a few days; therefore, authors are advised to allocate at least three to four weeks to allow for the thorough development and refinement of successive drafts.</w:t>
      </w:r>
      <w:r>
        <w:rPr>
          <w:color w:val="8064A2" w:themeColor="accent4"/>
          <w:sz w:val="20"/>
          <w:szCs w:val="20"/>
          <w14:textFill>
            <w14:solidFill>
              <w14:schemeClr w14:val="accent4"/>
            </w14:solidFill>
          </w14:textFill>
        </w:rPr>
        <w:t xml:space="preserve"> </w:t>
      </w:r>
      <w:r>
        <w:rPr>
          <w:i/>
          <w:iCs/>
          <w:color w:val="8064A2" w:themeColor="accent4"/>
          <w:sz w:val="20"/>
          <w:szCs w:val="20"/>
          <w14:textFill>
            <w14:solidFill>
              <w14:schemeClr w14:val="accent4"/>
            </w14:solidFill>
          </w14:textFill>
        </w:rPr>
        <w:t>Conclusion written in Times New Roman in 10pt. If there are subtitles in this section, write them in Times New Roman, 11 Pt, Bold.</w:t>
      </w:r>
    </w:p>
    <w:p w14:paraId="3BDEE70E">
      <w:pPr>
        <w:ind w:firstLine="720"/>
        <w:jc w:val="both"/>
        <w:rPr>
          <w:sz w:val="20"/>
          <w:szCs w:val="20"/>
        </w:rPr>
      </w:pPr>
    </w:p>
    <w:p w14:paraId="0EFA29B7">
      <w:pPr>
        <w:jc w:val="both"/>
        <w:rPr>
          <w:b/>
          <w:bCs/>
          <w:sz w:val="28"/>
          <w:szCs w:val="28"/>
        </w:rPr>
      </w:pPr>
      <w:r>
        <w:rPr>
          <w:b/>
          <w:bCs/>
          <w:sz w:val="24"/>
          <w:szCs w:val="24"/>
        </w:rPr>
        <w:t>LIMITATION [Times New Roman, 12 pt, Bold]</w:t>
      </w:r>
    </w:p>
    <w:p w14:paraId="60202FC8">
      <w:pPr>
        <w:ind w:firstLine="720"/>
        <w:jc w:val="both"/>
        <w:rPr>
          <w:sz w:val="20"/>
          <w:szCs w:val="20"/>
        </w:rPr>
      </w:pPr>
      <w:r>
        <w:rPr>
          <w:sz w:val="20"/>
          <w:szCs w:val="20"/>
        </w:rPr>
        <w:t>It is axiomatic that every study possesses inherent limitations; however, researchers must diligently endeavor to mitigate these constraints throughout the investigative process. A transparent and candid acknowledgment of these shortcomings within the concluding chapter is essential, as proactively identifying such weaknesses is strategically superior to having them surfaced by an external assessor.</w:t>
      </w:r>
    </w:p>
    <w:p w14:paraId="1882E6A8">
      <w:pPr>
        <w:ind w:firstLine="720"/>
        <w:jc w:val="both"/>
        <w:rPr>
          <w:sz w:val="20"/>
          <w:szCs w:val="20"/>
        </w:rPr>
      </w:pPr>
      <w:r>
        <w:rPr>
          <w:sz w:val="20"/>
          <w:szCs w:val="20"/>
        </w:rPr>
        <w:t xml:space="preserve">In discussing these limitations, it is imperative to move beyond a simple inventory of flaws; authors should instead provide a rigorous analysis of how these factors specifically impacted the research findings. Furthermore, the discussion should be strictly limited to constraints that are directly relevant to the research questions. One should avoid mentioning methodological gaps or alternative approaches that were never part of the study's intended scope or objectives. </w:t>
      </w:r>
      <w:r>
        <w:rPr>
          <w:color w:val="8064A2" w:themeColor="accent4"/>
          <w:sz w:val="20"/>
          <w:szCs w:val="20"/>
          <w14:textFill>
            <w14:solidFill>
              <w14:schemeClr w14:val="accent4"/>
            </w14:solidFill>
          </w14:textFill>
        </w:rPr>
        <w:t>Limitation written in Times New Roman in 10pt.</w:t>
      </w:r>
    </w:p>
    <w:p w14:paraId="47A10819">
      <w:pPr>
        <w:jc w:val="both"/>
        <w:rPr>
          <w:b/>
          <w:bCs/>
          <w:sz w:val="28"/>
          <w:szCs w:val="28"/>
        </w:rPr>
      </w:pPr>
      <w:r>
        <w:rPr>
          <w:b/>
          <w:bCs/>
          <w:sz w:val="24"/>
          <w:szCs w:val="24"/>
        </w:rPr>
        <w:t>REFERENCES [Times New Roman, 12 pt, Bold]</w:t>
      </w:r>
    </w:p>
    <w:p w14:paraId="2D3FF6C7">
      <w:pPr>
        <w:spacing w:after="0"/>
        <w:jc w:val="both"/>
        <w:rPr>
          <w:sz w:val="20"/>
          <w:szCs w:val="20"/>
        </w:rPr>
      </w:pPr>
      <w:r>
        <w:rPr>
          <w:sz w:val="20"/>
          <w:szCs w:val="20"/>
        </w:rPr>
        <w:t>References written in Times New Roman in 10pt. Every manuscript must include a comprehensive reference list consisting exclusively of cited works, preferably managed with bibliographic software such as Mendeley, EndNote, or Zotero. Each entry must provide sufficient detail to ensure unambiguous identification. Following the APA Citation Style (author-date system), a standard reference for a journal article must be structured as follows:</w:t>
      </w:r>
    </w:p>
    <w:p w14:paraId="478DD748">
      <w:pPr>
        <w:pStyle w:val="33"/>
        <w:numPr>
          <w:ilvl w:val="0"/>
          <w:numId w:val="7"/>
        </w:numPr>
        <w:jc w:val="both"/>
        <w:rPr>
          <w:sz w:val="20"/>
          <w:szCs w:val="20"/>
        </w:rPr>
      </w:pPr>
      <w:r>
        <w:rPr>
          <w:sz w:val="20"/>
          <w:szCs w:val="20"/>
        </w:rPr>
        <w:t>Author(s) Information: List the author's surname first, followed by their initials.</w:t>
      </w:r>
    </w:p>
    <w:p w14:paraId="2788BF26">
      <w:pPr>
        <w:pStyle w:val="33"/>
        <w:numPr>
          <w:ilvl w:val="0"/>
          <w:numId w:val="7"/>
        </w:numPr>
        <w:jc w:val="both"/>
        <w:rPr>
          <w:sz w:val="20"/>
          <w:szCs w:val="20"/>
        </w:rPr>
      </w:pPr>
      <w:r>
        <w:rPr>
          <w:sz w:val="20"/>
          <w:szCs w:val="20"/>
        </w:rPr>
        <w:t>Publication Date: The year the article was published must be enclosed in parentheses.</w:t>
      </w:r>
    </w:p>
    <w:p w14:paraId="4419CE0D">
      <w:pPr>
        <w:pStyle w:val="33"/>
        <w:numPr>
          <w:ilvl w:val="0"/>
          <w:numId w:val="7"/>
        </w:numPr>
        <w:jc w:val="both"/>
        <w:rPr>
          <w:sz w:val="20"/>
          <w:szCs w:val="20"/>
        </w:rPr>
      </w:pPr>
      <w:r>
        <w:rPr>
          <w:sz w:val="20"/>
          <w:szCs w:val="20"/>
        </w:rPr>
        <w:t>Title of Article: Provide the full title of the specific article.</w:t>
      </w:r>
    </w:p>
    <w:p w14:paraId="2D0299DF">
      <w:pPr>
        <w:pStyle w:val="33"/>
        <w:numPr>
          <w:ilvl w:val="0"/>
          <w:numId w:val="7"/>
        </w:numPr>
        <w:jc w:val="both"/>
        <w:rPr>
          <w:sz w:val="20"/>
          <w:szCs w:val="20"/>
        </w:rPr>
      </w:pPr>
      <w:r>
        <w:rPr>
          <w:sz w:val="20"/>
          <w:szCs w:val="20"/>
        </w:rPr>
        <w:t>Journal Title: The name of the periodical must be written in italics.</w:t>
      </w:r>
    </w:p>
    <w:p w14:paraId="57D5CEFC">
      <w:pPr>
        <w:pStyle w:val="33"/>
        <w:numPr>
          <w:ilvl w:val="0"/>
          <w:numId w:val="7"/>
        </w:numPr>
        <w:jc w:val="both"/>
        <w:rPr>
          <w:sz w:val="20"/>
          <w:szCs w:val="20"/>
        </w:rPr>
      </w:pPr>
      <w:r>
        <w:rPr>
          <w:sz w:val="20"/>
          <w:szCs w:val="20"/>
        </w:rPr>
        <w:t>Volume and Issue: The journal volume should be italicized, while the subsequent issue number is placed in parentheses without italics.</w:t>
      </w:r>
    </w:p>
    <w:p w14:paraId="4072849F">
      <w:pPr>
        <w:pStyle w:val="33"/>
        <w:numPr>
          <w:ilvl w:val="0"/>
          <w:numId w:val="7"/>
        </w:numPr>
        <w:jc w:val="both"/>
        <w:rPr>
          <w:sz w:val="20"/>
          <w:szCs w:val="20"/>
        </w:rPr>
      </w:pPr>
      <w:r>
        <w:rPr>
          <w:sz w:val="20"/>
          <w:szCs w:val="20"/>
        </w:rPr>
        <w:t>Page Range: Specify the exact span of pages where the article appears.</w:t>
      </w:r>
    </w:p>
    <w:p w14:paraId="045690E5">
      <w:pPr>
        <w:pStyle w:val="33"/>
        <w:numPr>
          <w:ilvl w:val="0"/>
          <w:numId w:val="7"/>
        </w:numPr>
        <w:jc w:val="both"/>
        <w:rPr>
          <w:sz w:val="20"/>
          <w:szCs w:val="20"/>
        </w:rPr>
      </w:pPr>
      <w:r>
        <w:rPr>
          <w:sz w:val="20"/>
          <w:szCs w:val="20"/>
        </w:rPr>
        <w:t>Digital Identifiers: Include a DOI or a direct URL for digital accessibility.</w:t>
      </w:r>
    </w:p>
    <w:p w14:paraId="4E129989">
      <w:pPr>
        <w:pStyle w:val="33"/>
        <w:numPr>
          <w:ilvl w:val="0"/>
          <w:numId w:val="7"/>
        </w:numPr>
        <w:jc w:val="both"/>
        <w:rPr>
          <w:sz w:val="20"/>
          <w:szCs w:val="20"/>
        </w:rPr>
      </w:pPr>
      <w:r>
        <w:rPr>
          <w:sz w:val="20"/>
          <w:szCs w:val="20"/>
        </w:rPr>
        <w:t>Formatting and Indentation: The initial line of each entry must be left-justified, while all subsequent lines should feature a hanging indent of five to seven spaces.</w:t>
      </w:r>
    </w:p>
    <w:p w14:paraId="1790FFF0">
      <w:pPr>
        <w:spacing w:line="240" w:lineRule="auto"/>
        <w:ind w:left="720" w:hanging="720"/>
        <w:jc w:val="both"/>
        <w:rPr>
          <w:sz w:val="20"/>
          <w:szCs w:val="20"/>
        </w:rPr>
      </w:pPr>
      <w:r>
        <w:rPr>
          <w:sz w:val="20"/>
          <w:szCs w:val="20"/>
        </w:rPr>
        <w:t xml:space="preserve">Example: </w:t>
      </w:r>
    </w:p>
    <w:p w14:paraId="2FF1C5D3">
      <w:pPr>
        <w:spacing w:line="240" w:lineRule="auto"/>
        <w:ind w:left="720" w:hanging="720"/>
        <w:jc w:val="both"/>
        <w:rPr>
          <w:rFonts w:eastAsia="Times New Roman"/>
          <w:sz w:val="20"/>
          <w:szCs w:val="20"/>
          <w:lang w:val="en-GB" w:eastAsia="en-GB"/>
        </w:rPr>
      </w:pPr>
      <w:r>
        <w:rPr>
          <w:rFonts w:eastAsia="Times New Roman"/>
          <w:sz w:val="20"/>
          <w:szCs w:val="20"/>
          <w:lang w:val="en-GB" w:eastAsia="en-GB"/>
        </w:rPr>
        <w:t xml:space="preserve">Eisenhardt, K.M., &amp; Martin, J.A. (2000). </w:t>
      </w:r>
      <w:r>
        <w:rPr>
          <w:rFonts w:eastAsia="Times New Roman"/>
          <w:i/>
          <w:iCs/>
          <w:sz w:val="20"/>
          <w:szCs w:val="20"/>
          <w:lang w:val="en-GB" w:eastAsia="en-GB"/>
        </w:rPr>
        <w:t>Dynamic capabilities:</w:t>
      </w:r>
      <w:r>
        <w:rPr>
          <w:rFonts w:eastAsia="Times New Roman"/>
          <w:sz w:val="20"/>
          <w:szCs w:val="20"/>
          <w:lang w:val="en-GB" w:eastAsia="en-GB"/>
        </w:rPr>
        <w:t xml:space="preserve"> What are they? </w:t>
      </w:r>
      <w:r>
        <w:rPr>
          <w:rFonts w:eastAsia="Times New Roman"/>
          <w:i/>
          <w:sz w:val="20"/>
          <w:szCs w:val="20"/>
          <w:lang w:val="en-GB" w:eastAsia="en-GB"/>
        </w:rPr>
        <w:t>Strategic Management Journal</w:t>
      </w:r>
      <w:r>
        <w:rPr>
          <w:rFonts w:eastAsia="Times New Roman"/>
          <w:sz w:val="20"/>
          <w:szCs w:val="20"/>
          <w:lang w:val="en-GB" w:eastAsia="en-GB"/>
        </w:rPr>
        <w:t>, 21, 1105–1121.</w:t>
      </w:r>
    </w:p>
    <w:p w14:paraId="693EFA81">
      <w:pPr>
        <w:spacing w:line="240" w:lineRule="auto"/>
        <w:ind w:left="720" w:hanging="720"/>
        <w:jc w:val="both"/>
        <w:rPr>
          <w:rFonts w:eastAsia="Times New Roman"/>
          <w:color w:val="000000"/>
          <w:sz w:val="20"/>
          <w:szCs w:val="20"/>
          <w:lang w:val="en-GB" w:eastAsia="en-GB"/>
        </w:rPr>
      </w:pPr>
      <w:r>
        <w:rPr>
          <w:rFonts w:eastAsia="Times New Roman"/>
          <w:color w:val="000000"/>
          <w:sz w:val="20"/>
          <w:szCs w:val="20"/>
          <w:lang w:val="en-GB" w:eastAsia="en-GB"/>
        </w:rPr>
        <w:t xml:space="preserve">Ekah, U.J., &amp; Iloke, J. (2022). Performance evaluation of key performance indicators for UMTS Networks in Calabar, Nigeria. </w:t>
      </w:r>
      <w:r>
        <w:rPr>
          <w:rFonts w:eastAsia="Times New Roman"/>
          <w:i/>
          <w:color w:val="000000"/>
          <w:sz w:val="20"/>
          <w:szCs w:val="20"/>
          <w:lang w:val="en-GB" w:eastAsia="en-GB"/>
        </w:rPr>
        <w:t>GSC Advanced Research and Reviews</w:t>
      </w:r>
      <w:r>
        <w:rPr>
          <w:rFonts w:eastAsia="Times New Roman"/>
          <w:color w:val="000000"/>
          <w:sz w:val="20"/>
          <w:szCs w:val="20"/>
          <w:lang w:val="en-GB" w:eastAsia="en-GB"/>
        </w:rPr>
        <w:t>, 10(01), 047–052.</w:t>
      </w:r>
    </w:p>
    <w:p w14:paraId="12C29674">
      <w:pPr>
        <w:spacing w:after="160" w:line="240" w:lineRule="auto"/>
        <w:ind w:left="720" w:hanging="720"/>
        <w:jc w:val="both"/>
        <w:rPr>
          <w:rFonts w:eastAsia="Times New Roman"/>
          <w:sz w:val="20"/>
          <w:szCs w:val="20"/>
          <w:lang w:val="en-GB" w:eastAsia="en-GB"/>
        </w:rPr>
      </w:pPr>
      <w:r>
        <w:rPr>
          <w:rFonts w:eastAsia="Times New Roman"/>
          <w:sz w:val="20"/>
          <w:szCs w:val="20"/>
          <w:lang w:val="en-GB" w:eastAsia="en-GB"/>
        </w:rPr>
        <w:t xml:space="preserve">Fincham, J. (2008). Response rates and responsiveness for surveys, standards, and the journal. </w:t>
      </w:r>
      <w:r>
        <w:rPr>
          <w:rFonts w:eastAsia="Times New Roman"/>
          <w:i/>
          <w:sz w:val="20"/>
          <w:szCs w:val="20"/>
          <w:lang w:val="en-GB" w:eastAsia="en-GB"/>
        </w:rPr>
        <w:t>American Journal of Pharmaceutical Education (Article 43), 72</w:t>
      </w:r>
      <w:r>
        <w:rPr>
          <w:rFonts w:eastAsia="Times New Roman"/>
          <w:sz w:val="20"/>
          <w:szCs w:val="20"/>
          <w:lang w:val="en-GB" w:eastAsia="en-GB"/>
        </w:rPr>
        <w:t>(2), 1-3.</w:t>
      </w:r>
    </w:p>
    <w:p w14:paraId="5812E818">
      <w:pPr>
        <w:ind w:firstLine="720"/>
        <w:jc w:val="both"/>
        <w:rPr>
          <w:sz w:val="20"/>
          <w:szCs w:val="20"/>
        </w:rPr>
      </w:pPr>
      <w:r>
        <w:rPr>
          <w:sz w:val="20"/>
          <w:szCs w:val="20"/>
        </w:rPr>
        <w:t xml:space="preserve">Furthermore, to ensure an objective and fair evaluation, the conference employs a strictly double-anonymized peer-review framework. Therefore, authors must ensure that no identifying information, such as names or institutional affiliations, is included within the uploaded document. Adherence to these guidelines is crucial, as the editorial board maintains a firm policy where final decisions are binding and non-negotiable to ensure the quality and accountability of the conference proceedings. </w:t>
      </w:r>
      <w:r>
        <w:rPr>
          <w:i/>
          <w:iCs/>
          <w:color w:val="8064A2" w:themeColor="accent4"/>
          <w:sz w:val="20"/>
          <w:szCs w:val="20"/>
          <w14:textFill>
            <w14:solidFill>
              <w14:schemeClr w14:val="accent4"/>
            </w14:solidFill>
          </w14:textFill>
        </w:rPr>
        <w:t>This manuscript required words including: Introduction, Materials and Methods, Results, Discussion, Conclusion, and Limitations.</w:t>
      </w:r>
    </w:p>
    <w:p w14:paraId="28E34984">
      <w:pPr>
        <w:ind w:firstLine="720"/>
        <w:jc w:val="both"/>
        <w:rPr>
          <w:sz w:val="20"/>
          <w:szCs w:val="20"/>
        </w:rPr>
      </w:pPr>
      <w:r>
        <w:rPr>
          <w:i/>
          <w:color w:val="8064A2" w:themeColor="accent4"/>
          <w:sz w:val="20"/>
          <w:szCs w:val="20"/>
          <w14:textFill>
            <w14:solidFill>
              <w14:schemeClr w14:val="accent4"/>
            </w14:solidFill>
          </w14:textFill>
        </w:rPr>
        <w:t>Please describe the overall review process for your conference. Example text</w:t>
      </w:r>
      <w:r>
        <w:rPr>
          <w:color w:val="8064A2" w:themeColor="accent4"/>
          <w:sz w:val="20"/>
          <w:szCs w:val="20"/>
          <w14:textFill>
            <w14:solidFill>
              <w14:schemeClr w14:val="accent4"/>
            </w14:solidFill>
          </w14:textFill>
        </w:rPr>
        <w:t xml:space="preserve">: </w:t>
      </w:r>
      <w:r>
        <w:rPr>
          <w:sz w:val="20"/>
          <w:szCs w:val="20"/>
        </w:rPr>
        <w:t>The evaluation process commenced with a preliminary desk review to assess basic quality and thematic alignment. Manuscripts meeting these criteria were then assigned to independent subject-matter experts for a double-blind evaluation, ensuring a precise match between the research topic and the reviewers' specialized knowledge while mitigating potential conflicts of interest. Final acceptance was strictly contingent upon unanimous positive endorsements from both assigned reviewers.</w:t>
      </w:r>
    </w:p>
    <w:p w14:paraId="7FD66372">
      <w:pPr>
        <w:ind w:firstLine="720"/>
        <w:jc w:val="both"/>
        <w:rPr>
          <w:sz w:val="20"/>
          <w:szCs w:val="20"/>
        </w:rPr>
      </w:pPr>
      <w:r>
        <w:rPr>
          <w:sz w:val="20"/>
          <w:szCs w:val="20"/>
        </w:rPr>
        <w:t>In cases of initial rejection, authors were invited to revise, provided they comprehensively addressed all reviewer feedback. However, the editorial board maintained a strict 'one-revision' policy, whereby the subsequent decision on the revised manuscript was deemed absolute and final.</w:t>
      </w:r>
    </w:p>
    <w:p w14:paraId="1F045866">
      <w:pPr>
        <w:jc w:val="both"/>
        <w:rPr>
          <w:i/>
          <w:iCs/>
          <w:color w:val="8064A2" w:themeColor="accent4"/>
          <w:sz w:val="20"/>
          <w:szCs w:val="20"/>
          <w14:textFill>
            <w14:solidFill>
              <w14:schemeClr w14:val="accent4"/>
            </w14:solidFill>
          </w14:textFill>
        </w:rPr>
      </w:pPr>
      <w:r>
        <w:rPr>
          <w:i/>
          <w:iCs/>
          <w:color w:val="8064A2" w:themeColor="accent4"/>
          <w:sz w:val="20"/>
          <w:szCs w:val="20"/>
          <w14:textFill>
            <w14:solidFill>
              <w14:schemeClr w14:val="accent4"/>
            </w14:solidFill>
          </w14:textFill>
        </w:rPr>
        <w:t>[The integrity of the review cycle was maintained through proactive conflict-of-interest management, ensuring that reviewers were recused from any papers involving closely related authors. To further enhance review quality, specific guidelines were provided to reviewers to identify and mitigate unconscious biases, ensuring a fair and merit-based selection process.]</w:t>
      </w:r>
      <w:r>
        <w:rPr>
          <w:i/>
          <w:iCs/>
          <w:color w:val="8064A2" w:themeColor="accent4"/>
          <w:sz w:val="20"/>
          <w:szCs w:val="20"/>
          <w14:textFill>
            <w14:solidFill>
              <w14:schemeClr w14:val="accent4"/>
            </w14:solidFill>
          </w14:textFill>
        </w:rPr>
        <w:br w:type="textWrapping"/>
      </w:r>
    </w:p>
    <w:p w14:paraId="4F44AD24">
      <w:pPr>
        <w:jc w:val="both"/>
        <w:rPr>
          <w:b/>
          <w:sz w:val="23"/>
          <w:szCs w:val="23"/>
        </w:rPr>
      </w:pPr>
      <w:r>
        <w:rPr>
          <w:b/>
          <w:sz w:val="23"/>
          <w:szCs w:val="23"/>
        </w:rPr>
        <w:t xml:space="preserve"> COMPETING INTERESTS</w:t>
      </w:r>
    </w:p>
    <w:p w14:paraId="7D8E2A49">
      <w:pPr>
        <w:ind w:firstLine="720"/>
        <w:jc w:val="both"/>
        <w:rPr>
          <w:i/>
          <w:iCs/>
          <w:color w:val="8064A2" w:themeColor="accent4"/>
          <w:sz w:val="20"/>
          <w:szCs w:val="20"/>
          <w14:textFill>
            <w14:solidFill>
              <w14:schemeClr w14:val="accent4"/>
            </w14:solidFill>
          </w14:textFill>
        </w:rPr>
      </w:pPr>
      <w:r>
        <w:rPr>
          <w:i/>
          <w:iCs/>
          <w:color w:val="8064A2" w:themeColor="accent4"/>
          <w:sz w:val="20"/>
          <w:szCs w:val="20"/>
          <w14:textFill>
            <w14:solidFill>
              <w14:schemeClr w14:val="accent4"/>
            </w14:solidFill>
          </w14:textFill>
        </w:rPr>
        <w:t>Conflict of interests encompasses any affiliations or personal stakes of the Editor-in-Chief and the editorial board that might influence, or be seen to influence, the impartiality of editorial outcomes. While such interests are common, the ethical standards of scholarly publishing require full disclosure and adherence to specific protocols to maintain the integrity of the review cycle.</w:t>
      </w:r>
    </w:p>
    <w:p w14:paraId="51F93C03">
      <w:pPr>
        <w:ind w:firstLine="720"/>
        <w:jc w:val="both"/>
        <w:rPr>
          <w:i/>
          <w:iCs/>
          <w:color w:val="8064A2" w:themeColor="accent4"/>
          <w:sz w:val="20"/>
          <w:szCs w:val="20"/>
          <w14:textFill>
            <w14:solidFill>
              <w14:schemeClr w14:val="accent4"/>
            </w14:solidFill>
          </w14:textFill>
        </w:rPr>
      </w:pPr>
      <w:r>
        <w:rPr>
          <w:i/>
          <w:iCs/>
          <w:color w:val="8064A2" w:themeColor="accent4"/>
          <w:sz w:val="20"/>
          <w:szCs w:val="20"/>
          <w14:textFill>
            <w14:solidFill>
              <w14:schemeClr w14:val="accent4"/>
            </w14:solidFill>
          </w14:textFill>
        </w:rPr>
        <w:t>This section is designated for documenting any competing interests and the corresponding mitigation strategies. We provide three illustrative examples below and strongly advise organizers to consult the Publisher’s policies or the COPE guidelines for more comprehensive information. Should any ambiguity arise, please consult the Publisher directly.</w:t>
      </w:r>
    </w:p>
    <w:p w14:paraId="618024EA">
      <w:pPr>
        <w:jc w:val="both"/>
        <w:rPr>
          <w:sz w:val="20"/>
          <w:szCs w:val="20"/>
        </w:rPr>
      </w:pPr>
      <w:r>
        <w:rPr>
          <w:i/>
          <w:iCs/>
          <w:color w:val="8064A2" w:themeColor="accent4"/>
          <w:sz w:val="20"/>
          <w:szCs w:val="20"/>
          <w14:textFill>
            <w14:solidFill>
              <w14:schemeClr w14:val="accent4"/>
            </w14:solidFill>
          </w14:textFill>
        </w:rPr>
        <w:t>Example A (Standard Declaration):</w:t>
      </w:r>
      <w:r>
        <w:rPr>
          <w:color w:val="8064A2" w:themeColor="accent4"/>
          <w:sz w:val="20"/>
          <w:szCs w:val="20"/>
          <w14:textFill>
            <w14:solidFill>
              <w14:schemeClr w14:val="accent4"/>
            </w14:solidFill>
          </w14:textFill>
        </w:rPr>
        <w:t xml:space="preserve"> </w:t>
      </w:r>
      <w:r>
        <w:rPr>
          <w:sz w:val="20"/>
          <w:szCs w:val="20"/>
        </w:rPr>
        <w:t>Neither the Editor-in-Chief nor any member of the Scientific Committee has any competing interests to declare.</w:t>
      </w:r>
    </w:p>
    <w:p w14:paraId="0C151F72">
      <w:pPr>
        <w:jc w:val="both"/>
        <w:rPr>
          <w:sz w:val="20"/>
          <w:szCs w:val="20"/>
        </w:rPr>
      </w:pPr>
      <w:r>
        <w:rPr>
          <w:i/>
          <w:iCs/>
          <w:color w:val="8064A2" w:themeColor="accent4"/>
          <w:sz w:val="20"/>
          <w:szCs w:val="20"/>
          <w14:textFill>
            <w14:solidFill>
              <w14:schemeClr w14:val="accent4"/>
            </w14:solidFill>
          </w14:textFill>
        </w:rPr>
        <w:t>Example B (Supervisory Conflict):</w:t>
      </w:r>
      <w:r>
        <w:rPr>
          <w:color w:val="8064A2" w:themeColor="accent4"/>
          <w:sz w:val="20"/>
          <w:szCs w:val="20"/>
          <w14:textFill>
            <w14:solidFill>
              <w14:schemeClr w14:val="accent4"/>
            </w14:solidFill>
          </w14:textFill>
        </w:rPr>
        <w:t xml:space="preserve"> </w:t>
      </w:r>
      <w:r>
        <w:rPr>
          <w:sz w:val="20"/>
          <w:szCs w:val="20"/>
        </w:rPr>
        <w:t>Certain authors (list names here) are current or former students of the Editor-in-Chief. To ensure fairness, the Editor-in-Chief recused himself from evaluating these specific manuscripts, and the oversight was transferred to committee members with no personal or academic ties to the authors.</w:t>
      </w:r>
    </w:p>
    <w:p w14:paraId="18B32BB3">
      <w:pPr>
        <w:jc w:val="both"/>
        <w:rPr>
          <w:sz w:val="20"/>
          <w:szCs w:val="20"/>
        </w:rPr>
      </w:pPr>
      <w:r>
        <w:rPr>
          <w:i/>
          <w:iCs/>
          <w:color w:val="8064A2" w:themeColor="accent4"/>
          <w:sz w:val="20"/>
          <w:szCs w:val="20"/>
          <w14:textFill>
            <w14:solidFill>
              <w14:schemeClr w14:val="accent4"/>
            </w14:solidFill>
          </w14:textFill>
        </w:rPr>
        <w:t>Example C (Financial/Sponsorship Conflict):</w:t>
      </w:r>
      <w:r>
        <w:rPr>
          <w:color w:val="8064A2" w:themeColor="accent4"/>
          <w:sz w:val="20"/>
          <w:szCs w:val="20"/>
          <w14:textFill>
            <w14:solidFill>
              <w14:schemeClr w14:val="accent4"/>
            </w14:solidFill>
          </w14:textFill>
        </w:rPr>
        <w:t xml:space="preserve"> </w:t>
      </w:r>
      <w:r>
        <w:rPr>
          <w:sz w:val="20"/>
          <w:szCs w:val="20"/>
        </w:rPr>
        <w:t>The conference received partial funding from [Entity Name], an organization that also sponsored some of the submitted research. In response, all contributors and evaluators were mandated to disclose their funding origins. Furthermore, manuscripts linked to the sponsor were reviewed exclusively by Scientific Committee members who have no professional or financial relationship with the sponsor.</w:t>
      </w:r>
    </w:p>
    <w:sectPr>
      <w:footerReference r:id="rId7" w:type="first"/>
      <w:headerReference r:id="rId5" w:type="default"/>
      <w:headerReference r:id="rId6" w:type="even"/>
      <w:pgSz w:w="11906" w:h="16838"/>
      <w:pgMar w:top="2948" w:right="2495" w:bottom="2948" w:left="2495"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9CEA">
    <w:pPr>
      <w:spacing w:line="240" w:lineRule="auto"/>
      <w:rPr>
        <w:color w:val="000000"/>
        <w:sz w:val="17"/>
        <w:szCs w:val="17"/>
      </w:rPr>
    </w:pPr>
    <w:r>
      <w:rPr>
        <w:color w:val="000000"/>
        <w:sz w:val="17"/>
        <w:szCs w:val="17"/>
      </w:rPr>
      <w:t>© The Author(s) 20xx</w:t>
    </w:r>
  </w:p>
  <w:p w14:paraId="3DA7C66D">
    <w:pPr>
      <w:spacing w:line="240" w:lineRule="auto"/>
      <w:rPr>
        <w:color w:val="000000"/>
        <w:sz w:val="17"/>
        <w:szCs w:val="17"/>
      </w:rPr>
    </w:pPr>
    <w:r>
      <w:rPr>
        <w:color w:val="000000"/>
        <w:sz w:val="17"/>
        <w:szCs w:val="17"/>
      </w:rPr>
      <w:t xml:space="preserve">F. Editor et al. (eds.), </w:t>
    </w:r>
    <w:r>
      <w:rPr>
        <w:i/>
        <w:color w:val="000000"/>
        <w:sz w:val="17"/>
        <w:szCs w:val="17"/>
      </w:rPr>
      <w:t>Book Title</w:t>
    </w:r>
    <w:r>
      <w:rPr>
        <w:color w:val="000000"/>
        <w:sz w:val="17"/>
        <w:szCs w:val="17"/>
      </w:rPr>
      <w:t>, Series Title Volume No.,</w:t>
    </w:r>
  </w:p>
  <w:p w14:paraId="68742288">
    <w:pPr>
      <w:pStyle w:val="18"/>
      <w:rPr>
        <w:position w:val="8"/>
      </w:rPr>
    </w:pPr>
    <w:r>
      <w:rPr>
        <w:color w:val="0000FF"/>
        <w:position w:val="8"/>
        <w:sz w:val="17"/>
        <w:szCs w:val="17"/>
      </w:rPr>
      <w:t>https://doi.org/xxx</w:t>
    </w:r>
  </w:p>
  <w:p w14:paraId="4D274EB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683D6">
    <w:pPr>
      <w:pStyle w:val="19"/>
    </w:pPr>
  </w:p>
  <w:p w14:paraId="4AF68C84">
    <w:pPr>
      <w:pStyle w:val="19"/>
    </w:pPr>
  </w:p>
  <w:p w14:paraId="247F538A">
    <w:pPr>
      <w:pStyle w:val="19"/>
    </w:pPr>
  </w:p>
  <w:p w14:paraId="01AA062C">
    <w:pPr>
      <w:pStyle w:val="19"/>
    </w:pPr>
  </w:p>
  <w:p w14:paraId="1E82A648">
    <w:pPr>
      <w:pStyle w:val="19"/>
    </w:pPr>
  </w:p>
  <w:p w14:paraId="35E46EEB">
    <w:pPr>
      <w:pStyle w:val="19"/>
    </w:pPr>
  </w:p>
  <w:p w14:paraId="215D256F">
    <w:pPr>
      <w:pStyle w:val="19"/>
    </w:pPr>
  </w:p>
  <w:p w14:paraId="0DC13B92">
    <w:pPr>
      <w:pStyle w:val="19"/>
      <w:jc w:val="right"/>
      <w:rPr>
        <w:sz w:val="17"/>
        <w:szCs w:val="17"/>
      </w:rPr>
    </w:pPr>
    <w:r>
      <w:rPr>
        <w:sz w:val="17"/>
        <w:szCs w:val="17"/>
      </w:rPr>
      <w:t xml:space="preserve">Contribution Title          </w:t>
    </w:r>
    <w:r>
      <w:rPr>
        <w:sz w:val="17"/>
        <w:szCs w:val="17"/>
      </w:rPr>
      <w:fldChar w:fldCharType="begin"/>
    </w:r>
    <w:r>
      <w:rPr>
        <w:sz w:val="17"/>
        <w:szCs w:val="17"/>
      </w:rPr>
      <w:instrText xml:space="preserve">PAGE   \* MERGEFORMAT</w:instrText>
    </w:r>
    <w:r>
      <w:rPr>
        <w:sz w:val="17"/>
        <w:szCs w:val="17"/>
      </w:rPr>
      <w:fldChar w:fldCharType="separate"/>
    </w:r>
    <w:r>
      <w:rPr>
        <w:sz w:val="17"/>
        <w:szCs w:val="17"/>
      </w:rPr>
      <w:t>3</w:t>
    </w:r>
    <w:r>
      <w:rPr>
        <w:sz w:val="17"/>
        <w:szCs w:val="17"/>
      </w:rPr>
      <w:fldChar w:fldCharType="end"/>
    </w:r>
  </w:p>
  <w:p w14:paraId="658A829A">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9082">
    <w:pPr>
      <w:pStyle w:val="19"/>
    </w:pPr>
  </w:p>
  <w:p w14:paraId="2F786563">
    <w:pPr>
      <w:pStyle w:val="19"/>
    </w:pPr>
  </w:p>
  <w:p w14:paraId="13B9CB99">
    <w:pPr>
      <w:pStyle w:val="19"/>
    </w:pPr>
  </w:p>
  <w:p w14:paraId="5D1BF754">
    <w:pPr>
      <w:pStyle w:val="19"/>
    </w:pPr>
  </w:p>
  <w:p w14:paraId="441CCA29">
    <w:pPr>
      <w:pStyle w:val="19"/>
    </w:pPr>
  </w:p>
  <w:p w14:paraId="34B95B62">
    <w:pPr>
      <w:pStyle w:val="19"/>
    </w:pPr>
  </w:p>
  <w:p w14:paraId="2C404354">
    <w:pPr>
      <w:pStyle w:val="19"/>
    </w:pPr>
  </w:p>
  <w:p w14:paraId="7DA43DB1">
    <w:pPr>
      <w:pStyle w:val="19"/>
      <w:rPr>
        <w:sz w:val="17"/>
        <w:szCs w:val="17"/>
      </w:rPr>
    </w:pPr>
    <w:r>
      <w:rPr>
        <w:sz w:val="17"/>
        <w:szCs w:val="17"/>
      </w:rPr>
      <w:fldChar w:fldCharType="begin"/>
    </w:r>
    <w:r>
      <w:rPr>
        <w:sz w:val="17"/>
        <w:szCs w:val="17"/>
      </w:rPr>
      <w:instrText xml:space="preserve">PAGE   \* MERGEFORMAT</w:instrText>
    </w:r>
    <w:r>
      <w:rPr>
        <w:sz w:val="17"/>
        <w:szCs w:val="17"/>
      </w:rPr>
      <w:fldChar w:fldCharType="separate"/>
    </w:r>
    <w:r>
      <w:rPr>
        <w:sz w:val="17"/>
        <w:szCs w:val="17"/>
      </w:rPr>
      <w:t>2</w:t>
    </w:r>
    <w:r>
      <w:rPr>
        <w:sz w:val="17"/>
        <w:szCs w:val="17"/>
      </w:rPr>
      <w:fldChar w:fldCharType="end"/>
    </w:r>
    <w:r>
      <w:rPr>
        <w:sz w:val="17"/>
        <w:szCs w:val="17"/>
      </w:rPr>
      <w:t xml:space="preserve">          F. Author and S. Author</w:t>
    </w:r>
  </w:p>
  <w:p w14:paraId="65B8CD2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468F1808"/>
    <w:multiLevelType w:val="multilevel"/>
    <w:tmpl w:val="468F18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4A5A"/>
    <w:rsid w:val="0015074B"/>
    <w:rsid w:val="001863FE"/>
    <w:rsid w:val="00214C07"/>
    <w:rsid w:val="00282581"/>
    <w:rsid w:val="0029639D"/>
    <w:rsid w:val="002A23D2"/>
    <w:rsid w:val="00326F90"/>
    <w:rsid w:val="004003EF"/>
    <w:rsid w:val="004829E8"/>
    <w:rsid w:val="005227E3"/>
    <w:rsid w:val="00531550"/>
    <w:rsid w:val="00560504"/>
    <w:rsid w:val="00581082"/>
    <w:rsid w:val="00647DA5"/>
    <w:rsid w:val="007C7338"/>
    <w:rsid w:val="00822FD3"/>
    <w:rsid w:val="00895CCE"/>
    <w:rsid w:val="008E32C9"/>
    <w:rsid w:val="00A336DC"/>
    <w:rsid w:val="00AA1D8D"/>
    <w:rsid w:val="00AE7FB8"/>
    <w:rsid w:val="00AF2417"/>
    <w:rsid w:val="00B05EB4"/>
    <w:rsid w:val="00B47730"/>
    <w:rsid w:val="00B976B5"/>
    <w:rsid w:val="00BE6240"/>
    <w:rsid w:val="00C87228"/>
    <w:rsid w:val="00C9364E"/>
    <w:rsid w:val="00CB0664"/>
    <w:rsid w:val="00D733B1"/>
    <w:rsid w:val="00DE5471"/>
    <w:rsid w:val="00E668A6"/>
    <w:rsid w:val="00EC1902"/>
    <w:rsid w:val="00F442EA"/>
    <w:rsid w:val="00F914E4"/>
    <w:rsid w:val="00FC693F"/>
    <w:rsid w:val="00FF0BE2"/>
    <w:rsid w:val="2AD74F00"/>
    <w:rsid w:val="42BD668F"/>
    <w:rsid w:val="4A5F5A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0"/>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basedOn w:val="1"/>
    <w:unhideWhenUsed/>
    <w:uiPriority w:val="99"/>
    <w:pPr>
      <w:spacing w:before="100" w:beforeAutospacing="1" w:after="100" w:afterAutospacing="1" w:line="240" w:lineRule="auto"/>
    </w:pPr>
    <w:rPr>
      <w:rFonts w:eastAsia="Times New Roman" w:cs="Times New Roman"/>
      <w:sz w:val="24"/>
      <w:szCs w:val="24"/>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0"/>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 w:type="character" w:styleId="165">
    <w:name w:val="Placeholder Text"/>
    <w:basedOn w:val="11"/>
    <w:semiHidden/>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1915</Words>
  <Characters>11517</Characters>
  <Lines>111</Lines>
  <Paragraphs>31</Paragraphs>
  <TotalTime>110</TotalTime>
  <ScaleCrop>false</ScaleCrop>
  <LinksUpToDate>false</LinksUpToDate>
  <CharactersWithSpaces>13374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Farida Nurhasanah</cp:lastModifiedBy>
  <dcterms:modified xsi:type="dcterms:W3CDTF">2026-04-30T07:46:10Z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119b1337-4ae3-48e7-a9ce-6a8a3e8a928e</vt:lpwstr>
  </property>
  <property fmtid="{D5CDD505-2E9C-101B-9397-08002B2CF9AE}" pid="3" name="KSOTemplateDocerSaveRecord">
    <vt:lpwstr>eyJoZGlkIjoiYjFlMDc1ZmVmZjBjOTU1YjNiMmJjMzlmNDU3ZDE2M2IiLCJ1c2VySWQiOiI4ODEzNDU3NDE1ODcwIn0=</vt:lpwstr>
  </property>
  <property fmtid="{D5CDD505-2E9C-101B-9397-08002B2CF9AE}" pid="4" name="KSOProductBuildVer">
    <vt:lpwstr>1033-12.1.0.25862</vt:lpwstr>
  </property>
  <property fmtid="{D5CDD505-2E9C-101B-9397-08002B2CF9AE}" pid="5" name="ICV">
    <vt:lpwstr>79513416CF17430480890181F77DFEFB_13</vt:lpwstr>
  </property>
</Properties>
</file>